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rPr>
          <w:rFonts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 </w:t>
      </w:r>
      <w:r>
        <w:rPr>
          <w:sz w:val="24"/>
          <w:szCs w:val="24"/>
        </w:rPr>
        <w:t xml:space="preserve">              </w:t>
      </w:r>
      <w:r>
        <w:rPr>
          <w:rFonts w:hint="eastAsia" w:ascii="黑体" w:hAnsi="黑体" w:eastAsia="黑体" w:cs="黑体"/>
          <w:color w:val="1D1007"/>
          <w:sz w:val="32"/>
          <w:szCs w:val="32"/>
        </w:rPr>
        <w:t>比选评分表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85"/>
        <w:gridCol w:w="1070"/>
        <w:gridCol w:w="4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74" w:type="pct"/>
            <w:vAlign w:val="center"/>
          </w:tcPr>
          <w:p>
            <w:pPr>
              <w:pStyle w:val="6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24" w:type="pct"/>
            <w:vAlign w:val="center"/>
          </w:tcPr>
          <w:p>
            <w:pPr>
              <w:pStyle w:val="6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评分因素</w:t>
            </w:r>
          </w:p>
          <w:p>
            <w:pPr>
              <w:pStyle w:val="6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及权重</w:t>
            </w:r>
          </w:p>
        </w:tc>
        <w:tc>
          <w:tcPr>
            <w:tcW w:w="628" w:type="pct"/>
            <w:vAlign w:val="center"/>
          </w:tcPr>
          <w:p>
            <w:pPr>
              <w:pStyle w:val="6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分　值</w:t>
            </w:r>
          </w:p>
        </w:tc>
        <w:tc>
          <w:tcPr>
            <w:tcW w:w="2674" w:type="pct"/>
            <w:vAlign w:val="center"/>
          </w:tcPr>
          <w:p>
            <w:pPr>
              <w:pStyle w:val="6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4" w:type="pct"/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224" w:type="pct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报价</w:t>
            </w:r>
            <w:r>
              <w:t>60%</w:t>
            </w:r>
          </w:p>
        </w:tc>
        <w:tc>
          <w:tcPr>
            <w:tcW w:w="628" w:type="pct"/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2674" w:type="pct"/>
            <w:vAlign w:val="center"/>
          </w:tcPr>
          <w:p>
            <w:pPr>
              <w:pStyle w:val="7"/>
              <w:ind w:left="3168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、价格分（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pStyle w:val="7"/>
              <w:ind w:left="31680"/>
              <w:rPr>
                <w:rFonts w:cs="Times New Roman"/>
              </w:rPr>
            </w:pPr>
            <w:r>
              <w:rPr>
                <w:rFonts w:hint="eastAsia"/>
              </w:rPr>
              <w:t>满足比选文件要求且报价最低的供应商的价格为比选基准价，得满分。其他供应商价格分按公式计算：</w:t>
            </w:r>
          </w:p>
          <w:p>
            <w:pPr>
              <w:pStyle w:val="7"/>
              <w:ind w:left="31680"/>
              <w:rPr>
                <w:rFonts w:cs="Times New Roman"/>
              </w:rPr>
            </w:pPr>
            <w:r>
              <w:rPr>
                <w:rFonts w:hint="eastAsia"/>
              </w:rPr>
              <w:t>比选价格分</w:t>
            </w:r>
            <w:r>
              <w:t>=(</w:t>
            </w:r>
            <w:r>
              <w:rPr>
                <w:rFonts w:hint="eastAsia"/>
              </w:rPr>
              <w:t>比选基准价</w:t>
            </w:r>
            <w:r>
              <w:t>/</w:t>
            </w:r>
            <w:r>
              <w:rPr>
                <w:rFonts w:hint="eastAsia"/>
              </w:rPr>
              <w:t>比选报价</w:t>
            </w:r>
            <w:r>
              <w:t>)</w:t>
            </w:r>
            <w:r>
              <w:rPr>
                <w:rFonts w:hint="eastAsia"/>
              </w:rPr>
              <w:t>×</w:t>
            </w:r>
            <w:r>
              <w:t>30%</w:t>
            </w:r>
            <w:r>
              <w:rPr>
                <w:rFonts w:hint="eastAsia"/>
              </w:rPr>
              <w:t>×</w:t>
            </w:r>
            <w:r>
              <w:t>100</w:t>
            </w:r>
            <w:r>
              <w:rPr>
                <w:rFonts w:hint="eastAsia"/>
              </w:rPr>
              <w:t>；</w:t>
            </w:r>
          </w:p>
          <w:p>
            <w:pPr>
              <w:pStyle w:val="7"/>
              <w:ind w:left="0" w:leftChars="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、品牌分（</w:t>
            </w:r>
            <w:r>
              <w:t>30</w:t>
            </w:r>
            <w:r>
              <w:rPr>
                <w:rFonts w:hint="eastAsia"/>
              </w:rPr>
              <w:t>分）</w:t>
            </w:r>
          </w:p>
          <w:p>
            <w:pPr>
              <w:pStyle w:val="7"/>
              <w:ind w:left="31680"/>
              <w:rPr>
                <w:rFonts w:cs="Times New Roman"/>
              </w:rPr>
            </w:pPr>
            <w:r>
              <w:rPr>
                <w:rFonts w:hint="eastAsia"/>
              </w:rPr>
              <w:t>根据供应商提供报价表所报品牌，按照市场知晓度、品牌美誉度等进行综合评分，优级</w:t>
            </w:r>
            <w:r>
              <w:t>26—30</w:t>
            </w:r>
            <w:r>
              <w:rPr>
                <w:rFonts w:hint="eastAsia"/>
              </w:rPr>
              <w:t>分，良级</w:t>
            </w:r>
            <w:r>
              <w:t>22—25</w:t>
            </w:r>
            <w:r>
              <w:rPr>
                <w:rFonts w:hint="eastAsia"/>
              </w:rPr>
              <w:t>分，一般</w:t>
            </w:r>
            <w:r>
              <w:t>15—21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4" w:type="pct"/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224" w:type="pct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服务方案</w:t>
            </w:r>
            <w:r>
              <w:t>30%</w:t>
            </w:r>
          </w:p>
        </w:tc>
        <w:tc>
          <w:tcPr>
            <w:tcW w:w="628" w:type="pct"/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2674" w:type="pct"/>
            <w:vAlign w:val="center"/>
          </w:tcPr>
          <w:p>
            <w:pPr>
              <w:pStyle w:val="7"/>
              <w:ind w:left="31680"/>
              <w:rPr>
                <w:rFonts w:cs="Times New Roman"/>
              </w:rPr>
            </w:pPr>
            <w:r>
              <w:rPr>
                <w:rFonts w:hint="eastAsia"/>
              </w:rPr>
              <w:t>根据供应商提供服务方案</w:t>
            </w:r>
            <w:r>
              <w:t>(</w:t>
            </w:r>
            <w:r>
              <w:rPr>
                <w:rFonts w:hint="eastAsia"/>
              </w:rPr>
              <w:t>应包含①货源组织及分工；②配送流程；③包装运输管理；④库存管理措施；⑤响应时间安排；⑥产品质量管理措施等内容</w:t>
            </w:r>
            <w:r>
              <w:t>)</w:t>
            </w:r>
            <w:r>
              <w:rPr>
                <w:rFonts w:hint="eastAsia"/>
              </w:rPr>
              <w:t>进行综合评分：对供应商提供的上述材料进行综合评价，设三个等级，优的得</w:t>
            </w:r>
            <w:r>
              <w:t>30</w:t>
            </w:r>
            <w:r>
              <w:rPr>
                <w:rFonts w:hint="eastAsia"/>
              </w:rPr>
              <w:t>分，良的得</w:t>
            </w:r>
            <w:r>
              <w:t>20</w:t>
            </w:r>
            <w:r>
              <w:rPr>
                <w:rFonts w:hint="eastAsia"/>
              </w:rPr>
              <w:t>分，一般的得</w:t>
            </w:r>
            <w:r>
              <w:t>10</w:t>
            </w:r>
            <w:r>
              <w:rPr>
                <w:rFonts w:hint="eastAsia"/>
              </w:rPr>
              <w:t>分，差的或者不提供的不得分。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4" w:type="pct"/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三</w:t>
            </w:r>
          </w:p>
        </w:tc>
        <w:tc>
          <w:tcPr>
            <w:tcW w:w="1224" w:type="pct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履约经验</w:t>
            </w:r>
            <w:r>
              <w:t>10%</w:t>
            </w:r>
          </w:p>
        </w:tc>
        <w:tc>
          <w:tcPr>
            <w:tcW w:w="628" w:type="pct"/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674" w:type="pct"/>
            <w:vAlign w:val="center"/>
          </w:tcPr>
          <w:p>
            <w:pPr>
              <w:pStyle w:val="7"/>
              <w:ind w:left="31680"/>
              <w:rPr>
                <w:rFonts w:cs="Times New Roman"/>
              </w:rPr>
            </w:pPr>
            <w:r>
              <w:rPr>
                <w:rFonts w:hint="eastAsia"/>
              </w:rPr>
              <w:t>供应商具有类似项目的履约经验，每提供一个得</w:t>
            </w:r>
            <w:r>
              <w:t>5</w:t>
            </w:r>
            <w:r>
              <w:rPr>
                <w:rFonts w:hint="eastAsia"/>
              </w:rPr>
              <w:t>分，最多得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>
            <w:pPr>
              <w:pStyle w:val="7"/>
              <w:ind w:left="31680"/>
              <w:rPr>
                <w:rFonts w:cs="Times New Roman"/>
              </w:rPr>
            </w:pPr>
            <w:r>
              <w:rPr>
                <w:rFonts w:hint="eastAsia"/>
              </w:rPr>
              <w:t>注：提供项目中标</w:t>
            </w:r>
            <w:r>
              <w:t>/</w:t>
            </w:r>
            <w:r>
              <w:rPr>
                <w:rFonts w:hint="eastAsia"/>
              </w:rPr>
              <w:t>成交通知书或合同复印件。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Dg4YzFiMTZjNDFjYzEyM2RlZDZjZDIzZGEyNDcifQ=="/>
  </w:docVars>
  <w:rsids>
    <w:rsidRoot w:val="485F4CAB"/>
    <w:rsid w:val="485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paragraph" w:customStyle="1" w:styleId="3">
    <w:name w:val="正文（绿盟科技）"/>
    <w:next w:val="1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  <w:style w:type="paragraph" w:customStyle="1" w:styleId="6">
    <w:name w:val="13、表格内居中正文"/>
    <w:basedOn w:val="1"/>
    <w:uiPriority w:val="99"/>
    <w:pPr>
      <w:tabs>
        <w:tab w:val="left" w:pos="0"/>
      </w:tabs>
      <w:wordWrap w:val="0"/>
      <w:topLinePunct/>
      <w:spacing w:line="360" w:lineRule="exact"/>
      <w:jc w:val="center"/>
    </w:pPr>
    <w:rPr>
      <w:rFonts w:ascii="宋体" w:hAnsi="宋体" w:cs="宋体"/>
    </w:rPr>
  </w:style>
  <w:style w:type="paragraph" w:customStyle="1" w:styleId="7">
    <w:name w:val="12、表格内左对齐正文"/>
    <w:basedOn w:val="1"/>
    <w:uiPriority w:val="99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2023-11-16T01:44:00Z</dcterms:created>
  <dc:creator>deng</dc:creator>
  <cp:lastModifiedBy>deng</cp:lastModifiedBy>
  <dcterms:modified xsi:type="dcterms:W3CDTF">2023-11-16T01:45:23Z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53FB2C213E6B4211AE1B1238AD91A596_11</vt:lpwstr>
  </property>
</Properties>
</file>